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77" w:rsidRPr="00B609E5" w:rsidRDefault="008E0A7D">
      <w:pPr>
        <w:pStyle w:val="Titel"/>
        <w:rPr>
          <w:lang w:val="es-ES"/>
        </w:rPr>
      </w:pPr>
      <w:bookmarkStart w:id="0" w:name="_GoBack"/>
      <w:bookmarkEnd w:id="0"/>
      <w:r w:rsidRPr="00B609E5">
        <w:rPr>
          <w:lang w:val="es-ES"/>
        </w:rPr>
        <w:t>Gato hidráulico</w:t>
      </w:r>
    </w:p>
    <w:p w:rsidR="003B4077" w:rsidRPr="00B609E5" w:rsidRDefault="00966FDE">
      <w:pPr>
        <w:pStyle w:val="Untertitel"/>
        <w:rPr>
          <w:lang w:val="es-ES"/>
        </w:rPr>
      </w:pPr>
      <w:r>
        <w:rPr>
          <w:lang w:val="es-ES"/>
        </w:rPr>
        <w:t>N.º de art. 007-T-GS</w:t>
      </w:r>
    </w:p>
    <w:p w:rsidR="003B4077" w:rsidRPr="00B609E5" w:rsidRDefault="003B4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es-ES"/>
        </w:rPr>
      </w:pPr>
    </w:p>
    <w:p w:rsidR="003B4077" w:rsidRPr="00B609E5" w:rsidRDefault="008E0A7D">
      <w:pPr>
        <w:pStyle w:val="berschrift1"/>
        <w:rPr>
          <w:lang w:val="es-ES"/>
        </w:rPr>
      </w:pPr>
      <w:r w:rsidRPr="00B609E5">
        <w:rPr>
          <w:lang w:val="es-ES"/>
        </w:rPr>
        <w:t>Instrucciones de uso</w:t>
      </w:r>
    </w:p>
    <w:p w:rsidR="003B4077" w:rsidRPr="00B609E5" w:rsidRDefault="003B4077">
      <w:pPr>
        <w:rPr>
          <w:rFonts w:ascii="Arial" w:hAnsi="Arial"/>
          <w:b/>
          <w:lang w:val="es-ES"/>
        </w:rPr>
      </w:pPr>
    </w:p>
    <w:p w:rsidR="003B4077" w:rsidRPr="00B609E5" w:rsidRDefault="008E0A7D">
      <w:pPr>
        <w:pStyle w:val="Textkrper"/>
        <w:rPr>
          <w:lang w:val="es-ES"/>
        </w:rPr>
      </w:pPr>
      <w:r w:rsidRPr="00B609E5">
        <w:rPr>
          <w:lang w:val="es-ES"/>
        </w:rPr>
        <w:t>Lea atentamente estas instrucciones de uso y tenga en cuenta las indicaciones de advertencia y de seguridad.</w:t>
      </w:r>
    </w:p>
    <w:p w:rsidR="003B4077" w:rsidRPr="00B609E5" w:rsidRDefault="003B4077">
      <w:pPr>
        <w:rPr>
          <w:rFonts w:ascii="Arial" w:hAnsi="Arial"/>
          <w:lang w:val="es-ES"/>
        </w:rPr>
      </w:pPr>
    </w:p>
    <w:p w:rsidR="003B4077" w:rsidRPr="00B609E5" w:rsidRDefault="008E0A7D">
      <w:pPr>
        <w:rPr>
          <w:rFonts w:ascii="Arial" w:hAnsi="Arial"/>
          <w:b/>
          <w:lang w:val="es-ES"/>
        </w:rPr>
      </w:pPr>
      <w:r w:rsidRPr="00B609E5">
        <w:rPr>
          <w:rFonts w:ascii="Arial" w:hAnsi="Arial"/>
          <w:b/>
          <w:lang w:val="es-ES"/>
        </w:rPr>
        <w:t>Aplicación</w:t>
      </w:r>
    </w:p>
    <w:p w:rsidR="003B4077" w:rsidRPr="00B609E5" w:rsidRDefault="003B4077">
      <w:pPr>
        <w:rPr>
          <w:rFonts w:ascii="Arial" w:hAnsi="Arial"/>
          <w:b/>
          <w:lang w:val="es-ES"/>
        </w:rPr>
      </w:pPr>
    </w:p>
    <w:p w:rsidR="003B4077" w:rsidRPr="00B609E5" w:rsidRDefault="008E0A7D">
      <w:p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Este gato sirve exclusivamente para </w:t>
      </w:r>
      <w:r w:rsidRPr="00B609E5">
        <w:rPr>
          <w:rFonts w:ascii="Arial" w:hAnsi="Arial"/>
          <w:b/>
          <w:lang w:val="es-ES"/>
        </w:rPr>
        <w:t>elevar</w:t>
      </w:r>
      <w:r w:rsidRPr="00B609E5">
        <w:rPr>
          <w:rFonts w:ascii="Arial" w:hAnsi="Arial"/>
          <w:lang w:val="es-ES"/>
        </w:rPr>
        <w:t xml:space="preserve"> vehículos de un peso máximo </w:t>
      </w:r>
      <w:r w:rsidR="00966FDE">
        <w:rPr>
          <w:rFonts w:ascii="Arial" w:hAnsi="Arial"/>
          <w:lang w:val="es-ES"/>
        </w:rPr>
        <w:t>co</w:t>
      </w:r>
      <w:r w:rsidR="000365CC">
        <w:rPr>
          <w:rFonts w:ascii="Arial" w:hAnsi="Arial"/>
          <w:lang w:val="es-ES"/>
        </w:rPr>
        <w:t>r</w:t>
      </w:r>
      <w:r w:rsidR="00966FDE">
        <w:rPr>
          <w:rFonts w:ascii="Arial" w:hAnsi="Arial"/>
          <w:lang w:val="es-ES"/>
        </w:rPr>
        <w:t>respond</w:t>
      </w:r>
      <w:r w:rsidR="000365CC">
        <w:rPr>
          <w:rFonts w:ascii="Arial" w:hAnsi="Arial"/>
          <w:lang w:val="es-ES"/>
        </w:rPr>
        <w:t>i</w:t>
      </w:r>
      <w:r w:rsidR="00966FDE">
        <w:rPr>
          <w:rFonts w:ascii="Arial" w:hAnsi="Arial"/>
          <w:lang w:val="es-ES"/>
        </w:rPr>
        <w:t xml:space="preserve">ente </w:t>
      </w:r>
      <w:r w:rsidRPr="00B609E5">
        <w:rPr>
          <w:rFonts w:ascii="Arial" w:hAnsi="Arial"/>
          <w:lang w:val="es-ES"/>
        </w:rPr>
        <w:t xml:space="preserve">de </w:t>
      </w:r>
      <w:r w:rsidR="00966FDE">
        <w:rPr>
          <w:rFonts w:ascii="Arial" w:hAnsi="Arial"/>
          <w:lang w:val="es-ES"/>
        </w:rPr>
        <w:t>datos técnicos</w:t>
      </w:r>
    </w:p>
    <w:p w:rsidR="003B4077" w:rsidRPr="00B609E5" w:rsidRDefault="008E0A7D">
      <w:p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El gato no debe utilizarse como si fuera un caballete para apoyar los vehículos en posición elevada.</w:t>
      </w:r>
    </w:p>
    <w:p w:rsidR="003B4077" w:rsidRPr="00B609E5" w:rsidRDefault="003B4077">
      <w:pPr>
        <w:rPr>
          <w:rFonts w:ascii="Arial" w:hAnsi="Arial"/>
          <w:b/>
          <w:lang w:val="es-ES"/>
        </w:rPr>
      </w:pPr>
    </w:p>
    <w:p w:rsidR="003B4077" w:rsidRPr="00966FDE" w:rsidRDefault="008E0A7D">
      <w:pPr>
        <w:rPr>
          <w:rFonts w:ascii="Arial" w:hAnsi="Arial"/>
          <w:b/>
          <w:sz w:val="18"/>
          <w:lang w:val="es-ES"/>
        </w:rPr>
      </w:pPr>
      <w:r w:rsidRPr="00966FDE">
        <w:rPr>
          <w:rFonts w:ascii="Arial" w:hAnsi="Arial"/>
          <w:b/>
          <w:sz w:val="18"/>
          <w:lang w:val="es-ES"/>
        </w:rPr>
        <w:t>Datos técnicos</w:t>
      </w:r>
    </w:p>
    <w:tbl>
      <w:tblPr>
        <w:tblStyle w:val="Tabellenraster"/>
        <w:tblpPr w:leftFromText="141" w:rightFromText="141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66FDE" w:rsidRPr="00966FDE" w:rsidTr="00475504">
        <w:tc>
          <w:tcPr>
            <w:tcW w:w="2121" w:type="dxa"/>
            <w:vAlign w:val="center"/>
          </w:tcPr>
          <w:p w:rsidR="00966FDE" w:rsidRPr="00966FDE" w:rsidRDefault="00966FDE" w:rsidP="00966FDE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right"/>
              <w:rPr>
                <w:sz w:val="18"/>
              </w:rPr>
            </w:pPr>
            <w:r w:rsidRPr="00966FDE">
              <w:rPr>
                <w:sz w:val="18"/>
              </w:rPr>
              <w:t>Art.-</w:t>
            </w:r>
            <w:proofErr w:type="spellStart"/>
            <w:r w:rsidRPr="00966FDE">
              <w:rPr>
                <w:sz w:val="18"/>
              </w:rPr>
              <w:t>N</w:t>
            </w:r>
            <w:r>
              <w:rPr>
                <w:sz w:val="18"/>
              </w:rPr>
              <w:t>o</w:t>
            </w:r>
            <w:proofErr w:type="spellEnd"/>
            <w:r w:rsidRPr="00966FDE">
              <w:rPr>
                <w:sz w:val="18"/>
              </w:rPr>
              <w:t>.</w:t>
            </w:r>
          </w:p>
        </w:tc>
        <w:tc>
          <w:tcPr>
            <w:tcW w:w="2121" w:type="dxa"/>
            <w:vAlign w:val="center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8"/>
              </w:rPr>
            </w:pPr>
            <w:r w:rsidRPr="00966FDE">
              <w:rPr>
                <w:sz w:val="18"/>
              </w:rPr>
              <w:t>007-T-GS2</w:t>
            </w:r>
          </w:p>
        </w:tc>
        <w:tc>
          <w:tcPr>
            <w:tcW w:w="2121" w:type="dxa"/>
            <w:vAlign w:val="center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8"/>
              </w:rPr>
            </w:pPr>
            <w:r w:rsidRPr="00966FDE">
              <w:rPr>
                <w:sz w:val="18"/>
              </w:rPr>
              <w:t>007-T-GS3</w:t>
            </w:r>
          </w:p>
        </w:tc>
        <w:tc>
          <w:tcPr>
            <w:tcW w:w="2121" w:type="dxa"/>
            <w:vAlign w:val="center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8"/>
              </w:rPr>
            </w:pPr>
            <w:r w:rsidRPr="00966FDE">
              <w:rPr>
                <w:sz w:val="18"/>
              </w:rPr>
              <w:t>007-T-GS5</w:t>
            </w:r>
          </w:p>
        </w:tc>
        <w:tc>
          <w:tcPr>
            <w:tcW w:w="2122" w:type="dxa"/>
            <w:vAlign w:val="center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8"/>
              </w:rPr>
            </w:pPr>
            <w:r w:rsidRPr="00966FDE">
              <w:rPr>
                <w:sz w:val="18"/>
              </w:rPr>
              <w:t>007-T-GS8</w:t>
            </w:r>
          </w:p>
        </w:tc>
      </w:tr>
      <w:tr w:rsidR="00966FDE" w:rsidRPr="00966FDE" w:rsidTr="00475504">
        <w:tc>
          <w:tcPr>
            <w:tcW w:w="2121" w:type="dxa"/>
            <w:vAlign w:val="center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 w:rsidRPr="00966FDE">
              <w:rPr>
                <w:b w:val="0"/>
                <w:sz w:val="20"/>
                <w:lang w:val="es-ES"/>
              </w:rPr>
              <w:t>capac.máx.carga:</w:t>
            </w:r>
          </w:p>
        </w:tc>
        <w:tc>
          <w:tcPr>
            <w:tcW w:w="2121" w:type="dxa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18"/>
              </w:rPr>
            </w:pPr>
            <w:r w:rsidRPr="00966FDE">
              <w:rPr>
                <w:b w:val="0"/>
                <w:sz w:val="18"/>
              </w:rPr>
              <w:t>2000 kg</w:t>
            </w:r>
          </w:p>
        </w:tc>
        <w:tc>
          <w:tcPr>
            <w:tcW w:w="2121" w:type="dxa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18"/>
              </w:rPr>
            </w:pPr>
            <w:r w:rsidRPr="00966FDE">
              <w:rPr>
                <w:b w:val="0"/>
                <w:sz w:val="18"/>
              </w:rPr>
              <w:t>3000 kg</w:t>
            </w:r>
          </w:p>
        </w:tc>
        <w:tc>
          <w:tcPr>
            <w:tcW w:w="2121" w:type="dxa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18"/>
              </w:rPr>
            </w:pPr>
            <w:r w:rsidRPr="00966FDE">
              <w:rPr>
                <w:b w:val="0"/>
                <w:sz w:val="18"/>
              </w:rPr>
              <w:t>5000 kg</w:t>
            </w:r>
          </w:p>
        </w:tc>
        <w:tc>
          <w:tcPr>
            <w:tcW w:w="2122" w:type="dxa"/>
          </w:tcPr>
          <w:p w:rsidR="00966FDE" w:rsidRPr="00966FDE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18"/>
              </w:rPr>
            </w:pPr>
            <w:r w:rsidRPr="00966FDE">
              <w:rPr>
                <w:b w:val="0"/>
                <w:sz w:val="18"/>
              </w:rPr>
              <w:t>8000 kg</w:t>
            </w:r>
          </w:p>
        </w:tc>
      </w:tr>
      <w:tr w:rsidR="00966FDE" w:rsidTr="00475504">
        <w:tc>
          <w:tcPr>
            <w:tcW w:w="2121" w:type="dxa"/>
            <w:vAlign w:val="center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 w:rsidRPr="00966FDE">
              <w:rPr>
                <w:b w:val="0"/>
                <w:sz w:val="20"/>
                <w:lang w:val="es-ES"/>
              </w:rPr>
              <w:t>altura mín. apoyo: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 mm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180 mm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195 mm</w:t>
            </w:r>
          </w:p>
        </w:tc>
        <w:tc>
          <w:tcPr>
            <w:tcW w:w="2122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200 mm</w:t>
            </w:r>
          </w:p>
        </w:tc>
      </w:tr>
      <w:tr w:rsidR="00966FDE" w:rsidTr="00475504">
        <w:tc>
          <w:tcPr>
            <w:tcW w:w="2121" w:type="dxa"/>
            <w:vAlign w:val="center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 w:rsidRPr="00966FDE">
              <w:rPr>
                <w:b w:val="0"/>
                <w:sz w:val="20"/>
                <w:lang w:val="es-ES"/>
              </w:rPr>
              <w:t>altura máx.: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298 mm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340 mm</w:t>
            </w:r>
          </w:p>
        </w:tc>
        <w:tc>
          <w:tcPr>
            <w:tcW w:w="2121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370 mm</w:t>
            </w:r>
          </w:p>
        </w:tc>
        <w:tc>
          <w:tcPr>
            <w:tcW w:w="2122" w:type="dxa"/>
          </w:tcPr>
          <w:p w:rsidR="00966FDE" w:rsidRPr="00351F73" w:rsidRDefault="00966FDE" w:rsidP="00475504">
            <w:pPr>
              <w:pStyle w:val="Ti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385 mm</w:t>
            </w:r>
          </w:p>
        </w:tc>
      </w:tr>
    </w:tbl>
    <w:p w:rsidR="003B4077" w:rsidRPr="00B609E5" w:rsidRDefault="003B4077">
      <w:pPr>
        <w:rPr>
          <w:rFonts w:ascii="Arial" w:hAnsi="Arial"/>
          <w:b/>
          <w:lang w:val="es-ES"/>
        </w:rPr>
      </w:pPr>
    </w:p>
    <w:p w:rsidR="003B4077" w:rsidRPr="00966FDE" w:rsidRDefault="008E0A7D">
      <w:pPr>
        <w:rPr>
          <w:rFonts w:ascii="Arial" w:hAnsi="Arial"/>
          <w:b/>
          <w:lang w:val="en-US"/>
        </w:rPr>
      </w:pPr>
      <w:proofErr w:type="spellStart"/>
      <w:r w:rsidRPr="00966FDE">
        <w:rPr>
          <w:rFonts w:ascii="Arial" w:hAnsi="Arial"/>
          <w:b/>
          <w:lang w:val="en-US"/>
        </w:rPr>
        <w:t>Indicaciones</w:t>
      </w:r>
      <w:proofErr w:type="spellEnd"/>
      <w:r w:rsidRPr="00966FDE">
        <w:rPr>
          <w:rFonts w:ascii="Arial" w:hAnsi="Arial"/>
          <w:b/>
          <w:lang w:val="en-US"/>
        </w:rPr>
        <w:t xml:space="preserve"> de </w:t>
      </w:r>
      <w:proofErr w:type="spellStart"/>
      <w:r w:rsidRPr="00966FDE">
        <w:rPr>
          <w:rFonts w:ascii="Arial" w:hAnsi="Arial"/>
          <w:b/>
          <w:lang w:val="en-US"/>
        </w:rPr>
        <w:t>seguridad</w:t>
      </w:r>
      <w:proofErr w:type="spellEnd"/>
    </w:p>
    <w:p w:rsidR="003B4077" w:rsidRPr="00966FDE" w:rsidRDefault="003B4077">
      <w:pPr>
        <w:rPr>
          <w:rFonts w:ascii="Arial" w:hAnsi="Arial"/>
          <w:b/>
          <w:lang w:val="en-US"/>
        </w:rPr>
      </w:pPr>
    </w:p>
    <w:p w:rsidR="003B4077" w:rsidRPr="00B609E5" w:rsidRDefault="008E0A7D">
      <w:pPr>
        <w:numPr>
          <w:ilvl w:val="0"/>
          <w:numId w:val="23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Antes de cada uso, compruebe que el gato esté en perfecto estado y que funcione correctamente.</w:t>
      </w:r>
    </w:p>
    <w:p w:rsidR="003B4077" w:rsidRPr="00B609E5" w:rsidRDefault="008E0A7D">
      <w:pPr>
        <w:numPr>
          <w:ilvl w:val="0"/>
          <w:numId w:val="5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Utilice el gato exclusivamente para </w:t>
      </w:r>
      <w:r w:rsidRPr="00B609E5">
        <w:rPr>
          <w:rFonts w:ascii="Arial" w:hAnsi="Arial"/>
          <w:b/>
          <w:lang w:val="es-ES"/>
        </w:rPr>
        <w:t>elevar</w:t>
      </w:r>
      <w:r w:rsidRPr="00B609E5">
        <w:rPr>
          <w:rFonts w:ascii="Arial" w:hAnsi="Arial"/>
          <w:lang w:val="es-ES"/>
        </w:rPr>
        <w:t xml:space="preserve"> el vehículo. Antes de realizar reparaciones o inspecciones en el vehículo elevado, deberá asegurarlo mediante caballetes adecuados. </w:t>
      </w:r>
    </w:p>
    <w:p w:rsidR="003B4077" w:rsidRPr="00B609E5" w:rsidRDefault="008E0A7D">
      <w:pPr>
        <w:numPr>
          <w:ilvl w:val="0"/>
          <w:numId w:val="6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El gato debe utilizarse para elevar vehículos con peso máximo </w:t>
      </w:r>
      <w:r w:rsidR="00966FDE">
        <w:rPr>
          <w:rFonts w:ascii="Arial" w:hAnsi="Arial"/>
          <w:lang w:val="es-ES"/>
        </w:rPr>
        <w:t xml:space="preserve">corespondente </w:t>
      </w:r>
      <w:r w:rsidRPr="00B609E5">
        <w:rPr>
          <w:rFonts w:ascii="Arial" w:hAnsi="Arial"/>
          <w:lang w:val="es-ES"/>
        </w:rPr>
        <w:t xml:space="preserve">de </w:t>
      </w:r>
      <w:r w:rsidR="00966FDE">
        <w:rPr>
          <w:rFonts w:ascii="Arial" w:hAnsi="Arial"/>
          <w:lang w:val="es-ES"/>
        </w:rPr>
        <w:t>datos técnicos</w:t>
      </w:r>
      <w:r w:rsidRPr="00B609E5">
        <w:rPr>
          <w:rFonts w:ascii="Arial" w:hAnsi="Arial"/>
          <w:lang w:val="es-ES"/>
        </w:rPr>
        <w:t>. En caso de sobrecarga, el gato podría dañarse y esto supondría un riesgo de accidentes.</w:t>
      </w:r>
    </w:p>
    <w:p w:rsidR="003B4077" w:rsidRPr="00B609E5" w:rsidRDefault="008E0A7D">
      <w:pPr>
        <w:numPr>
          <w:ilvl w:val="0"/>
          <w:numId w:val="6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Fije los puntos de elevación autorizados de su vehículo utilizando las instrucciones de uso.</w:t>
      </w:r>
    </w:p>
    <w:p w:rsidR="003B4077" w:rsidRPr="00B609E5" w:rsidRDefault="008E0A7D">
      <w:pPr>
        <w:numPr>
          <w:ilvl w:val="0"/>
          <w:numId w:val="7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El gato se debe utilizar únicamente sobre una base lisa y firme. Antes de elevar el vehículo, asegúrelo para que no ruede.</w:t>
      </w:r>
    </w:p>
    <w:p w:rsidR="003B4077" w:rsidRPr="00B609E5" w:rsidRDefault="008E0A7D">
      <w:pPr>
        <w:numPr>
          <w:ilvl w:val="0"/>
          <w:numId w:val="15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No utilice el gato si se encuentran personas en el vehículo o si están apoyadas en el mismo.</w:t>
      </w:r>
    </w:p>
    <w:p w:rsidR="003B4077" w:rsidRPr="00B609E5" w:rsidRDefault="003B4077">
      <w:pPr>
        <w:rPr>
          <w:rFonts w:ascii="Arial" w:hAnsi="Arial"/>
          <w:b/>
          <w:lang w:val="es-ES"/>
        </w:rPr>
      </w:pPr>
    </w:p>
    <w:p w:rsidR="003B4077" w:rsidRDefault="008E0A7D">
      <w:pPr>
        <w:rPr>
          <w:rFonts w:ascii="Arial" w:hAnsi="Arial"/>
          <w:b/>
        </w:rPr>
      </w:pPr>
      <w:r>
        <w:rPr>
          <w:rFonts w:ascii="Arial" w:hAnsi="Arial"/>
          <w:b/>
        </w:rPr>
        <w:t>MANEJO</w:t>
      </w:r>
    </w:p>
    <w:p w:rsidR="003B4077" w:rsidRDefault="003B4077">
      <w:pPr>
        <w:rPr>
          <w:rFonts w:ascii="Arial" w:hAnsi="Arial"/>
        </w:rPr>
      </w:pP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Para cerrar las válvula de descarga</w:t>
      </w:r>
      <w:r w:rsidR="0048352E">
        <w:rPr>
          <w:rFonts w:ascii="Arial" w:hAnsi="Arial"/>
          <w:lang w:val="es-ES"/>
        </w:rPr>
        <w:t xml:space="preserve"> (3)</w:t>
      </w:r>
      <w:r w:rsidRPr="00B609E5">
        <w:rPr>
          <w:rFonts w:ascii="Arial" w:hAnsi="Arial"/>
          <w:lang w:val="es-ES"/>
        </w:rPr>
        <w:t xml:space="preserve">, colocar la barra de bombeo </w:t>
      </w:r>
      <w:r w:rsidR="0048352E">
        <w:rPr>
          <w:rFonts w:ascii="Arial" w:hAnsi="Arial"/>
          <w:lang w:val="es-ES"/>
        </w:rPr>
        <w:t xml:space="preserve">(2) </w:t>
      </w:r>
      <w:r w:rsidRPr="00B609E5">
        <w:rPr>
          <w:rFonts w:ascii="Arial" w:hAnsi="Arial"/>
          <w:lang w:val="es-ES"/>
        </w:rPr>
        <w:t xml:space="preserve">en la válvula y girar en el sentido de las agujas del reloj hasta el tope.  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Antes de comenzar el trabajo, asegure su vehículo para que no ruede, echando el freno de mano y usando calzas.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Coloque el gato debajo del vehículo de modo que, al elevarlo, la placa de recorrido </w:t>
      </w:r>
      <w:r w:rsidR="0048352E">
        <w:rPr>
          <w:rFonts w:ascii="Arial" w:hAnsi="Arial"/>
          <w:lang w:val="es-ES"/>
        </w:rPr>
        <w:t xml:space="preserve">(1) </w:t>
      </w:r>
      <w:r w:rsidRPr="00B609E5">
        <w:rPr>
          <w:rFonts w:ascii="Arial" w:hAnsi="Arial"/>
          <w:lang w:val="es-ES"/>
        </w:rPr>
        <w:t>no dañe la parte inferior del vehículo (tenga en cuenta las instrucciones de uso del vehículo); en caso contrario, colóquelo en una posición adecuada del chasis o del bastidor.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Bombeando la barra de bombeo </w:t>
      </w:r>
      <w:r w:rsidR="0048352E">
        <w:rPr>
          <w:rFonts w:ascii="Arial" w:hAnsi="Arial"/>
          <w:lang w:val="es-ES"/>
        </w:rPr>
        <w:t xml:space="preserve">(2) </w:t>
      </w:r>
      <w:r w:rsidRPr="00B609E5">
        <w:rPr>
          <w:rFonts w:ascii="Arial" w:hAnsi="Arial"/>
          <w:lang w:val="es-ES"/>
        </w:rPr>
        <w:t>se levanta el vehículo lentamente. Durante el proceso, observar siempre que el vehículo no se deslice ni el el gato se incline.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Cuando el vehículo se eleve lo suficiente, hay que asegurarlo mediante unos caballetes adecuados antes de realizar las inspecciones o los trabajos de mantenimiento debajo del vehículo.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b/>
          <w:lang w:val="es-ES"/>
        </w:rPr>
      </w:pPr>
      <w:r w:rsidRPr="00B609E5">
        <w:rPr>
          <w:rFonts w:ascii="Arial" w:hAnsi="Arial"/>
          <w:b/>
          <w:lang w:val="es-ES"/>
        </w:rPr>
        <w:t>Nunca utilice el gato como si fuera un caballete.</w:t>
      </w:r>
    </w:p>
    <w:p w:rsidR="003B4077" w:rsidRPr="00B609E5" w:rsidRDefault="008E0A7D">
      <w:pPr>
        <w:numPr>
          <w:ilvl w:val="0"/>
          <w:numId w:val="1"/>
        </w:num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 xml:space="preserve">Para bajar el vehículo, abrir la válvula de descarga </w:t>
      </w:r>
      <w:r w:rsidR="0048352E">
        <w:rPr>
          <w:rFonts w:ascii="Arial" w:hAnsi="Arial"/>
          <w:lang w:val="es-ES"/>
        </w:rPr>
        <w:t xml:space="preserve">(3) </w:t>
      </w:r>
      <w:r w:rsidRPr="00B609E5">
        <w:rPr>
          <w:rFonts w:ascii="Arial" w:hAnsi="Arial"/>
          <w:lang w:val="es-ES"/>
        </w:rPr>
        <w:t>con la barra de bombeo</w:t>
      </w:r>
      <w:r w:rsidR="0048352E">
        <w:rPr>
          <w:rFonts w:ascii="Arial" w:hAnsi="Arial"/>
          <w:lang w:val="es-ES"/>
        </w:rPr>
        <w:t xml:space="preserve"> (2)</w:t>
      </w:r>
      <w:r w:rsidRPr="00B609E5">
        <w:rPr>
          <w:rFonts w:ascii="Arial" w:hAnsi="Arial"/>
          <w:lang w:val="es-ES"/>
        </w:rPr>
        <w:t xml:space="preserve"> girándola lentamente en el sentido contrario al de las agujas del reloj hasta que el cilindro de elevación baje.</w:t>
      </w:r>
    </w:p>
    <w:p w:rsidR="003B4077" w:rsidRPr="00B609E5" w:rsidRDefault="003B4077">
      <w:pPr>
        <w:rPr>
          <w:rFonts w:ascii="Arial" w:hAnsi="Arial"/>
          <w:lang w:val="es-ES"/>
        </w:rPr>
      </w:pPr>
    </w:p>
    <w:p w:rsidR="003B4077" w:rsidRPr="00B609E5" w:rsidRDefault="008E0A7D">
      <w:pPr>
        <w:rPr>
          <w:rFonts w:ascii="Arial" w:hAnsi="Arial"/>
          <w:lang w:val="es-ES"/>
        </w:rPr>
      </w:pPr>
      <w:r w:rsidRPr="00B609E5">
        <w:rPr>
          <w:rFonts w:ascii="Arial" w:hAnsi="Arial"/>
          <w:lang w:val="es-ES"/>
        </w:rPr>
        <w:t>En caso de dudas diríjase directamente al fabricante:</w:t>
      </w:r>
    </w:p>
    <w:p w:rsidR="003B4077" w:rsidRPr="00B609E5" w:rsidRDefault="003B4077">
      <w:pPr>
        <w:rPr>
          <w:rFonts w:ascii="Arial" w:hAnsi="Arial"/>
          <w:lang w:val="es-ES"/>
        </w:rPr>
      </w:pPr>
    </w:p>
    <w:p w:rsidR="003B4077" w:rsidRDefault="008E0A7D">
      <w:pPr>
        <w:rPr>
          <w:rFonts w:ascii="Arial" w:hAnsi="Arial"/>
        </w:rPr>
      </w:pPr>
      <w:r>
        <w:rPr>
          <w:rFonts w:ascii="Arial" w:hAnsi="Arial"/>
        </w:rPr>
        <w:t>Brüder Mannesmann Werkzeuge GmbH</w:t>
      </w:r>
    </w:p>
    <w:p w:rsidR="003B4077" w:rsidRDefault="008E0A7D">
      <w:pPr>
        <w:rPr>
          <w:rFonts w:ascii="Arial" w:hAnsi="Arial"/>
        </w:rPr>
      </w:pPr>
      <w:r>
        <w:rPr>
          <w:rFonts w:ascii="Arial" w:hAnsi="Arial"/>
        </w:rPr>
        <w:t>Abt. Reparatur-Service</w:t>
      </w:r>
    </w:p>
    <w:p w:rsidR="003B4077" w:rsidRDefault="008E0A7D">
      <w:pPr>
        <w:rPr>
          <w:rFonts w:ascii="Arial" w:hAnsi="Arial"/>
        </w:rPr>
      </w:pPr>
      <w:proofErr w:type="spellStart"/>
      <w:r>
        <w:rPr>
          <w:rFonts w:ascii="Arial" w:hAnsi="Arial"/>
        </w:rPr>
        <w:t>Lempstr</w:t>
      </w:r>
      <w:proofErr w:type="spellEnd"/>
      <w:r>
        <w:rPr>
          <w:rFonts w:ascii="Arial" w:hAnsi="Arial"/>
        </w:rPr>
        <w:t>. 24</w:t>
      </w:r>
    </w:p>
    <w:p w:rsidR="003B4077" w:rsidRDefault="003B4077">
      <w:pPr>
        <w:rPr>
          <w:rFonts w:ascii="Arial" w:hAnsi="Arial"/>
        </w:rPr>
      </w:pPr>
    </w:p>
    <w:p w:rsidR="003B4077" w:rsidRDefault="008E0A7D">
      <w:pPr>
        <w:rPr>
          <w:rFonts w:ascii="Arial" w:hAnsi="Arial"/>
        </w:rPr>
      </w:pPr>
      <w:r>
        <w:rPr>
          <w:rFonts w:ascii="Arial" w:hAnsi="Arial"/>
        </w:rPr>
        <w:t>D-42859 Remscheid</w:t>
      </w:r>
    </w:p>
    <w:p w:rsidR="003B4077" w:rsidRDefault="003B4077">
      <w:pPr>
        <w:rPr>
          <w:rFonts w:ascii="Arial" w:hAnsi="Arial"/>
        </w:rPr>
      </w:pPr>
    </w:p>
    <w:p w:rsidR="003B4077" w:rsidRDefault="008E0A7D">
      <w:pPr>
        <w:rPr>
          <w:rFonts w:ascii="Arial" w:hAnsi="Arial"/>
        </w:rPr>
      </w:pPr>
      <w:proofErr w:type="spellStart"/>
      <w:r>
        <w:rPr>
          <w:rFonts w:ascii="Arial" w:hAnsi="Arial"/>
        </w:rPr>
        <w:t>Teléfono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>+49 2191 / 37 14 71</w:t>
      </w:r>
    </w:p>
    <w:p w:rsidR="003B4077" w:rsidRDefault="008E0A7D">
      <w:pPr>
        <w:rPr>
          <w:rFonts w:ascii="Arial" w:hAnsi="Arial"/>
        </w:rPr>
      </w:pPr>
      <w:r>
        <w:rPr>
          <w:rFonts w:ascii="Arial" w:hAnsi="Arial"/>
        </w:rPr>
        <w:t>Fax:</w:t>
      </w:r>
      <w:r>
        <w:rPr>
          <w:rFonts w:ascii="Arial" w:hAnsi="Arial"/>
        </w:rPr>
        <w:tab/>
      </w:r>
      <w:r>
        <w:rPr>
          <w:rFonts w:ascii="Arial" w:hAnsi="Arial"/>
        </w:rPr>
        <w:tab/>
        <w:t>+49 2191 / 38 64 77</w:t>
      </w:r>
    </w:p>
    <w:p w:rsidR="003B4077" w:rsidRDefault="008E0A7D">
      <w:pPr>
        <w:rPr>
          <w:rFonts w:ascii="Arial" w:hAnsi="Arial"/>
        </w:rPr>
      </w:pPr>
      <w:proofErr w:type="spellStart"/>
      <w:r>
        <w:rPr>
          <w:rFonts w:ascii="Arial" w:hAnsi="Arial"/>
        </w:rPr>
        <w:t>corr.electr</w:t>
      </w:r>
      <w:proofErr w:type="spellEnd"/>
      <w:r>
        <w:rPr>
          <w:rFonts w:ascii="Arial" w:hAnsi="Arial"/>
        </w:rPr>
        <w:t>.:</w:t>
      </w:r>
      <w:r>
        <w:rPr>
          <w:rFonts w:ascii="Arial" w:hAnsi="Arial"/>
        </w:rPr>
        <w:tab/>
        <w:t>service@br-mannesmann.de</w:t>
      </w:r>
    </w:p>
    <w:p w:rsidR="003B4077" w:rsidRDefault="003B4077">
      <w:pPr>
        <w:rPr>
          <w:rFonts w:ascii="Arial" w:hAnsi="Arial"/>
        </w:rPr>
      </w:pPr>
    </w:p>
    <w:p w:rsidR="003B4077" w:rsidRDefault="003B4077">
      <w:pPr>
        <w:rPr>
          <w:rFonts w:ascii="Arial" w:hAnsi="Arial"/>
        </w:rPr>
      </w:pPr>
    </w:p>
    <w:p w:rsidR="008E0A7D" w:rsidRDefault="008E0A7D">
      <w:pPr>
        <w:rPr>
          <w:rFonts w:ascii="Arial" w:hAnsi="Arial"/>
        </w:rPr>
      </w:pPr>
    </w:p>
    <w:sectPr w:rsidR="008E0A7D" w:rsidSect="00966FDE">
      <w:type w:val="continuous"/>
      <w:pgSz w:w="11906" w:h="16838" w:code="9"/>
      <w:pgMar w:top="720" w:right="720" w:bottom="720" w:left="720" w:header="720" w:footer="720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3FD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CB547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248135E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7AA142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7D914D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3F65F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3BE4D3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8FE181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29277C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CD52F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D0B43C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6F46C1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7556E6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9024445"/>
    <w:multiLevelType w:val="singleLevel"/>
    <w:tmpl w:val="6DE43D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98E31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D14758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716622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728A76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6BE267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7DD1BE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788D0A7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9224ED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7A9E6565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2"/>
  </w:num>
  <w:num w:numId="3">
    <w:abstractNumId w:val="2"/>
  </w:num>
  <w:num w:numId="4">
    <w:abstractNumId w:val="20"/>
  </w:num>
  <w:num w:numId="5">
    <w:abstractNumId w:val="15"/>
  </w:num>
  <w:num w:numId="6">
    <w:abstractNumId w:val="6"/>
  </w:num>
  <w:num w:numId="7">
    <w:abstractNumId w:val="11"/>
  </w:num>
  <w:num w:numId="8">
    <w:abstractNumId w:val="9"/>
  </w:num>
  <w:num w:numId="9">
    <w:abstractNumId w:val="16"/>
  </w:num>
  <w:num w:numId="10">
    <w:abstractNumId w:val="18"/>
  </w:num>
  <w:num w:numId="11">
    <w:abstractNumId w:val="4"/>
  </w:num>
  <w:num w:numId="12">
    <w:abstractNumId w:val="12"/>
  </w:num>
  <w:num w:numId="13">
    <w:abstractNumId w:val="19"/>
  </w:num>
  <w:num w:numId="14">
    <w:abstractNumId w:val="7"/>
  </w:num>
  <w:num w:numId="15">
    <w:abstractNumId w:val="21"/>
  </w:num>
  <w:num w:numId="16">
    <w:abstractNumId w:val="10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7"/>
  </w:num>
  <w:num w:numId="22">
    <w:abstractNumId w:val="3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E5"/>
    <w:rsid w:val="000365CC"/>
    <w:rsid w:val="003B4077"/>
    <w:rsid w:val="0048352E"/>
    <w:rsid w:val="00634704"/>
    <w:rsid w:val="008E0A7D"/>
    <w:rsid w:val="00966FDE"/>
    <w:rsid w:val="009977D2"/>
    <w:rsid w:val="00B609E5"/>
    <w:rsid w:val="00BA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eastAsia="pt-PT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2">
    <w:name w:val="Body Text 2"/>
    <w:basedOn w:val="Standard"/>
    <w:semiHidden/>
    <w:pPr>
      <w:jc w:val="both"/>
    </w:pPr>
  </w:style>
  <w:style w:type="paragraph" w:styleId="Titel">
    <w:name w:val="Title"/>
    <w:basedOn w:val="Standard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/>
      <w:b/>
      <w:sz w:val="28"/>
    </w:rPr>
  </w:style>
  <w:style w:type="paragraph" w:styleId="Untertitel">
    <w:name w:val="Subtitle"/>
    <w:basedOn w:val="Standard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/>
      <w:b/>
      <w:sz w:val="24"/>
    </w:rPr>
  </w:style>
  <w:style w:type="paragraph" w:styleId="Textkrper">
    <w:name w:val="Body Text"/>
    <w:basedOn w:val="Standard"/>
    <w:semiHidden/>
    <w:rPr>
      <w:rFonts w:ascii="Arial" w:hAnsi="Arial"/>
      <w:b/>
      <w:noProof/>
    </w:rPr>
  </w:style>
  <w:style w:type="paragraph" w:customStyle="1" w:styleId="Textodebalo">
    <w:name w:val="Texto de balão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semiHidden/>
    <w:rPr>
      <w:rFonts w:ascii="Tahoma" w:hAnsi="Tahoma" w:cs="Tahoma"/>
      <w:noProof w:val="0"/>
      <w:sz w:val="16"/>
      <w:szCs w:val="16"/>
      <w:lang w:val="de-DE"/>
    </w:rPr>
  </w:style>
  <w:style w:type="table" w:styleId="Tabellenraster">
    <w:name w:val="Table Grid"/>
    <w:basedOn w:val="NormaleTabelle"/>
    <w:uiPriority w:val="59"/>
    <w:rsid w:val="00966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eastAsia="pt-PT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2">
    <w:name w:val="Body Text 2"/>
    <w:basedOn w:val="Standard"/>
    <w:semiHidden/>
    <w:pPr>
      <w:jc w:val="both"/>
    </w:pPr>
  </w:style>
  <w:style w:type="paragraph" w:styleId="Titel">
    <w:name w:val="Title"/>
    <w:basedOn w:val="Standard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/>
      <w:b/>
      <w:sz w:val="28"/>
    </w:rPr>
  </w:style>
  <w:style w:type="paragraph" w:styleId="Untertitel">
    <w:name w:val="Subtitle"/>
    <w:basedOn w:val="Standard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/>
      <w:b/>
      <w:sz w:val="24"/>
    </w:rPr>
  </w:style>
  <w:style w:type="paragraph" w:styleId="Textkrper">
    <w:name w:val="Body Text"/>
    <w:basedOn w:val="Standard"/>
    <w:semiHidden/>
    <w:rPr>
      <w:rFonts w:ascii="Arial" w:hAnsi="Arial"/>
      <w:b/>
      <w:noProof/>
    </w:rPr>
  </w:style>
  <w:style w:type="paragraph" w:customStyle="1" w:styleId="Textodebalo">
    <w:name w:val="Texto de balão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semiHidden/>
    <w:rPr>
      <w:rFonts w:ascii="Tahoma" w:hAnsi="Tahoma" w:cs="Tahoma"/>
      <w:noProof w:val="0"/>
      <w:sz w:val="16"/>
      <w:szCs w:val="16"/>
      <w:lang w:val="de-DE"/>
    </w:rPr>
  </w:style>
  <w:style w:type="table" w:styleId="Tabellenraster">
    <w:name w:val="Table Grid"/>
    <w:basedOn w:val="NormaleTabelle"/>
    <w:uiPriority w:val="59"/>
    <w:rsid w:val="00966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ACHTUNG:</vt:lpstr>
    </vt:vector>
  </TitlesOfParts>
  <Company>Mannesmann</Company>
  <LinksUpToDate>false</LinksUpToDate>
  <CharactersWithSpaces>2749</CharactersWithSpaces>
  <SharedDoc>false</SharedDoc>
  <HLinks>
    <vt:vector size="12" baseType="variant">
      <vt:variant>
        <vt:i4>5308420</vt:i4>
      </vt:variant>
      <vt:variant>
        <vt:i4>-1</vt:i4>
      </vt:variant>
      <vt:variant>
        <vt:i4>1036</vt:i4>
      </vt:variant>
      <vt:variant>
        <vt:i4>1</vt:i4>
      </vt:variant>
      <vt:variant>
        <vt:lpwstr>007_T_WA</vt:lpwstr>
      </vt:variant>
      <vt:variant>
        <vt:lpwstr/>
      </vt:variant>
      <vt:variant>
        <vt:i4>3932220</vt:i4>
      </vt:variant>
      <vt:variant>
        <vt:i4>-1</vt:i4>
      </vt:variant>
      <vt:variant>
        <vt:i4>1037</vt:i4>
      </vt:variant>
      <vt:variant>
        <vt:i4>1</vt:i4>
      </vt:variant>
      <vt:variant>
        <vt:lpwstr>BM-LOGO-SW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ACHTUNG:</dc:title>
  <dc:creator>Mannesmann</dc:creator>
  <cp:lastModifiedBy>Gundula Ehrlich</cp:lastModifiedBy>
  <cp:revision>2</cp:revision>
  <cp:lastPrinted>2006-02-28T09:40:00Z</cp:lastPrinted>
  <dcterms:created xsi:type="dcterms:W3CDTF">2019-03-25T10:37:00Z</dcterms:created>
  <dcterms:modified xsi:type="dcterms:W3CDTF">2019-03-25T10:37:00Z</dcterms:modified>
</cp:coreProperties>
</file>